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宋体" w:hAnsi="宋体" w:eastAsia="宋体" w:cs="宋体"/>
          <w:bCs/>
          <w:sz w:val="44"/>
          <w:szCs w:val="44"/>
        </w:rPr>
      </w:pPr>
      <w:r>
        <w:rPr>
          <w:rFonts w:hint="eastAsia" w:ascii="宋体" w:hAnsi="宋体" w:eastAsia="宋体" w:cs="宋体"/>
          <w:bCs/>
          <w:sz w:val="44"/>
          <w:szCs w:val="44"/>
          <w:lang w:val="en-US" w:eastAsia="zh-CN"/>
        </w:rPr>
        <w:t>县</w:t>
      </w:r>
      <w:r>
        <w:rPr>
          <w:rFonts w:hint="eastAsia" w:ascii="宋体" w:hAnsi="宋体" w:eastAsia="宋体" w:cs="宋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kern w:val="0"/>
          <w:sz w:val="32"/>
          <w:szCs w:val="32"/>
          <w:lang w:eastAsia="zh-CN"/>
        </w:rPr>
        <w:t>大厂回族自治县退役军人事务局</w:t>
      </w:r>
      <w:r>
        <w:rPr>
          <w:rFonts w:eastAsia="仿宋_GB2312"/>
          <w:bCs/>
          <w:color w:val="000000"/>
          <w:kern w:val="0"/>
          <w:sz w:val="32"/>
          <w:szCs w:val="32"/>
        </w:rPr>
        <w:t xml:space="preserve">  </w:t>
      </w:r>
      <w:r>
        <w:rPr>
          <w:rFonts w:hint="eastAsia" w:eastAsia="仿宋_GB2312"/>
          <w:bCs/>
          <w:color w:val="000000"/>
          <w:kern w:val="0"/>
          <w:sz w:val="32"/>
          <w:szCs w:val="32"/>
          <w:lang w:val="en-US" w:eastAsia="zh-CN"/>
        </w:rPr>
        <w:t xml:space="preserve">  </w:t>
      </w:r>
      <w:r>
        <w:rPr>
          <w:rFonts w:eastAsia="仿宋_GB2312"/>
          <w:bCs/>
          <w:color w:val="000000"/>
          <w:kern w:val="0"/>
          <w:sz w:val="32"/>
          <w:szCs w:val="32"/>
        </w:rPr>
        <w:t xml:space="preserve">单位：万元                                </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val="0"/>
                <w:bCs w:val="0"/>
                <w:color w:val="000000"/>
                <w:kern w:val="0"/>
                <w:sz w:val="32"/>
                <w:szCs w:val="32"/>
              </w:rPr>
            </w:pPr>
            <w:r>
              <w:rPr>
                <w:rFonts w:eastAsia="仿宋_GB2312"/>
                <w:b w:val="0"/>
                <w:bCs w:val="0"/>
                <w:color w:val="000000"/>
                <w:kern w:val="0"/>
                <w:sz w:val="32"/>
                <w:szCs w:val="32"/>
              </w:rPr>
              <w:t>统计内容</w:t>
            </w:r>
          </w:p>
        </w:tc>
        <w:tc>
          <w:tcPr>
            <w:tcW w:w="2161" w:type="dxa"/>
            <w:noWrap w:val="0"/>
            <w:vAlign w:val="center"/>
          </w:tcPr>
          <w:p>
            <w:pPr>
              <w:spacing w:line="584" w:lineRule="exact"/>
              <w:jc w:val="center"/>
              <w:rPr>
                <w:rFonts w:eastAsia="仿宋_GB2312"/>
                <w:b w:val="0"/>
                <w:bCs w:val="0"/>
                <w:color w:val="000000"/>
                <w:kern w:val="0"/>
                <w:sz w:val="32"/>
                <w:szCs w:val="32"/>
              </w:rPr>
            </w:pPr>
            <w:r>
              <w:rPr>
                <w:rFonts w:eastAsia="仿宋_GB2312"/>
                <w:b w:val="0"/>
                <w:bCs w:val="0"/>
                <w:color w:val="000000"/>
                <w:kern w:val="0"/>
                <w:sz w:val="32"/>
                <w:szCs w:val="32"/>
              </w:rPr>
              <w:t>应评价数</w:t>
            </w:r>
          </w:p>
        </w:tc>
        <w:tc>
          <w:tcPr>
            <w:tcW w:w="3807" w:type="dxa"/>
            <w:gridSpan w:val="2"/>
            <w:noWrap w:val="0"/>
            <w:vAlign w:val="center"/>
          </w:tcPr>
          <w:p>
            <w:pPr>
              <w:spacing w:line="584" w:lineRule="exact"/>
              <w:jc w:val="center"/>
              <w:rPr>
                <w:rFonts w:eastAsia="仿宋_GB2312"/>
                <w:b w:val="0"/>
                <w:bCs w:val="0"/>
                <w:color w:val="000000"/>
                <w:kern w:val="0"/>
                <w:sz w:val="32"/>
                <w:szCs w:val="32"/>
              </w:rPr>
            </w:pPr>
            <w:r>
              <w:rPr>
                <w:rFonts w:eastAsia="仿宋_GB2312"/>
                <w:b w:val="0"/>
                <w:bCs w:val="0"/>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b w:val="0"/>
                <w:bCs w:val="0"/>
                <w:color w:val="000000"/>
                <w:kern w:val="0"/>
                <w:sz w:val="32"/>
                <w:szCs w:val="32"/>
              </w:rPr>
            </w:pPr>
            <w:r>
              <w:rPr>
                <w:rFonts w:eastAsia="仿宋_GB2312"/>
                <w:b w:val="0"/>
                <w:bCs w:val="0"/>
                <w:color w:val="000000"/>
                <w:kern w:val="0"/>
                <w:sz w:val="32"/>
                <w:szCs w:val="32"/>
              </w:rPr>
              <w:t>项目数量（个）</w:t>
            </w:r>
          </w:p>
        </w:tc>
        <w:tc>
          <w:tcPr>
            <w:tcW w:w="2161" w:type="dxa"/>
            <w:noWrap w:val="0"/>
            <w:vAlign w:val="center"/>
          </w:tcPr>
          <w:p>
            <w:pPr>
              <w:spacing w:line="584"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24</w:t>
            </w:r>
            <w:bookmarkStart w:id="0" w:name="_GoBack"/>
            <w:bookmarkEnd w:id="0"/>
          </w:p>
        </w:tc>
        <w:tc>
          <w:tcPr>
            <w:tcW w:w="3807" w:type="dxa"/>
            <w:gridSpan w:val="2"/>
            <w:noWrap w:val="0"/>
            <w:vAlign w:val="center"/>
          </w:tcPr>
          <w:p>
            <w:pPr>
              <w:spacing w:line="584"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b w:val="0"/>
                <w:bCs w:val="0"/>
                <w:color w:val="000000"/>
                <w:kern w:val="0"/>
                <w:sz w:val="32"/>
                <w:szCs w:val="32"/>
              </w:rPr>
            </w:pPr>
            <w:r>
              <w:rPr>
                <w:rFonts w:eastAsia="仿宋_GB2312"/>
                <w:b w:val="0"/>
                <w:bCs w:val="0"/>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eastAsia="仿宋_GB2312"/>
                <w:b w:val="0"/>
                <w:bCs w:val="0"/>
                <w:color w:val="000000"/>
                <w:kern w:val="0"/>
                <w:sz w:val="32"/>
                <w:szCs w:val="32"/>
              </w:rPr>
            </w:pPr>
            <w:r>
              <w:rPr>
                <w:rFonts w:hint="eastAsia" w:eastAsia="仿宋_GB2312"/>
                <w:b w:val="0"/>
                <w:bCs w:val="0"/>
                <w:color w:val="000000"/>
                <w:kern w:val="0"/>
                <w:sz w:val="32"/>
                <w:szCs w:val="32"/>
              </w:rPr>
              <w:t>2007.657634</w:t>
            </w:r>
          </w:p>
        </w:tc>
        <w:tc>
          <w:tcPr>
            <w:tcW w:w="3807" w:type="dxa"/>
            <w:gridSpan w:val="2"/>
            <w:noWrap w:val="0"/>
            <w:vAlign w:val="center"/>
          </w:tcPr>
          <w:p>
            <w:pPr>
              <w:spacing w:line="584" w:lineRule="exact"/>
              <w:jc w:val="center"/>
              <w:rPr>
                <w:rFonts w:eastAsia="仿宋_GB2312"/>
                <w:b w:val="0"/>
                <w:bCs w:val="0"/>
                <w:color w:val="000000"/>
                <w:kern w:val="0"/>
                <w:sz w:val="32"/>
                <w:szCs w:val="32"/>
              </w:rPr>
            </w:pPr>
            <w:r>
              <w:rPr>
                <w:rFonts w:hint="eastAsia" w:eastAsia="仿宋_GB2312"/>
                <w:b w:val="0"/>
                <w:bCs w:val="0"/>
                <w:color w:val="000000"/>
                <w:kern w:val="0"/>
                <w:sz w:val="32"/>
                <w:szCs w:val="32"/>
              </w:rPr>
              <w:t>1894.131297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b w:val="0"/>
                <w:bCs w:val="0"/>
                <w:color w:val="000000"/>
                <w:kern w:val="0"/>
                <w:sz w:val="32"/>
                <w:szCs w:val="32"/>
              </w:rPr>
            </w:pPr>
            <w:r>
              <w:rPr>
                <w:rFonts w:eastAsia="仿宋_GB2312"/>
                <w:b w:val="0"/>
                <w:bCs w:val="0"/>
                <w:color w:val="000000"/>
                <w:kern w:val="0"/>
                <w:sz w:val="32"/>
                <w:szCs w:val="32"/>
              </w:rPr>
              <w:t>绩效评价等级（个）</w:t>
            </w:r>
          </w:p>
        </w:tc>
        <w:tc>
          <w:tcPr>
            <w:tcW w:w="2161" w:type="dxa"/>
            <w:vMerge w:val="restart"/>
            <w:tcBorders>
              <w:top w:val="single" w:color="auto" w:sz="4" w:space="0"/>
            </w:tcBorders>
            <w:noWrap w:val="0"/>
            <w:vAlign w:val="top"/>
          </w:tcPr>
          <w:p>
            <w:pPr>
              <w:spacing w:line="584" w:lineRule="exact"/>
              <w:jc w:val="center"/>
              <w:rPr>
                <w:rFonts w:eastAsia="仿宋_GB2312"/>
                <w:b w:val="0"/>
                <w:bCs w:val="0"/>
                <w:color w:val="000000"/>
                <w:kern w:val="0"/>
                <w:sz w:val="32"/>
                <w:szCs w:val="32"/>
              </w:rPr>
            </w:pPr>
          </w:p>
        </w:tc>
        <w:tc>
          <w:tcPr>
            <w:tcW w:w="2021" w:type="dxa"/>
            <w:tcBorders>
              <w:bottom w:val="single" w:color="auto" w:sz="4" w:space="0"/>
              <w:right w:val="single" w:color="auto" w:sz="4" w:space="0"/>
            </w:tcBorders>
            <w:noWrap w:val="0"/>
            <w:vAlign w:val="top"/>
          </w:tcPr>
          <w:p>
            <w:pPr>
              <w:spacing w:line="584" w:lineRule="exact"/>
              <w:rPr>
                <w:rFonts w:eastAsia="仿宋_GB2312"/>
                <w:b w:val="0"/>
                <w:bCs w:val="0"/>
                <w:color w:val="000000"/>
                <w:kern w:val="0"/>
                <w:sz w:val="32"/>
                <w:szCs w:val="32"/>
              </w:rPr>
            </w:pPr>
            <w:r>
              <w:rPr>
                <w:rFonts w:eastAsia="仿宋_GB2312"/>
                <w:b w:val="0"/>
                <w:bCs w:val="0"/>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000000"/>
          <w:kern w:val="0"/>
          <w:sz w:val="28"/>
          <w:szCs w:val="28"/>
          <w:lang w:val="en-US" w:eastAsia="zh-CN"/>
        </w:rPr>
      </w:pPr>
      <w:r>
        <w:rPr>
          <w:rFonts w:hint="eastAsia" w:ascii="仿宋_GB2312" w:eastAsia="仿宋_GB2312"/>
          <w:b/>
          <w:bCs/>
          <w:color w:val="000000"/>
          <w:kern w:val="0"/>
          <w:sz w:val="28"/>
          <w:szCs w:val="28"/>
          <w:lang w:val="en-US" w:eastAsia="zh-CN"/>
        </w:rPr>
        <w:t>说明</w:t>
      </w:r>
      <w:r>
        <w:rPr>
          <w:rFonts w:hint="eastAsia" w:ascii="仿宋_GB2312" w:eastAsia="仿宋_GB2312"/>
          <w:b/>
          <w:bCs/>
          <w:color w:val="000000"/>
          <w:kern w:val="0"/>
          <w:sz w:val="28"/>
          <w:szCs w:val="28"/>
          <w:lang w:eastAsia="zh-CN"/>
        </w:rPr>
        <w:t>：</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w:t>
      </w:r>
      <w:r>
        <w:rPr>
          <w:rFonts w:hint="eastAsia" w:ascii="仿宋_GB2312" w:eastAsia="仿宋_GB2312"/>
          <w:color w:val="000000"/>
          <w:kern w:val="0"/>
          <w:sz w:val="28"/>
          <w:szCs w:val="28"/>
          <w:lang w:val="en-US" w:eastAsia="zh-CN"/>
        </w:rPr>
        <w:t>为所有项目的“项目支出绩效自评表”中“全年预算数”的总和；</w:t>
      </w:r>
      <w:r>
        <w:rPr>
          <w:rFonts w:hint="eastAsia" w:ascii="仿宋_GB2312" w:eastAsia="仿宋_GB2312"/>
          <w:color w:val="000000"/>
          <w:kern w:val="0"/>
          <w:sz w:val="28"/>
          <w:szCs w:val="28"/>
        </w:rPr>
        <w:t>已评价数为</w:t>
      </w:r>
      <w:r>
        <w:rPr>
          <w:rFonts w:hint="eastAsia" w:ascii="仿宋_GB2312" w:eastAsia="仿宋_GB2312"/>
          <w:color w:val="000000"/>
          <w:kern w:val="0"/>
          <w:sz w:val="28"/>
          <w:szCs w:val="28"/>
          <w:lang w:val="en-US" w:eastAsia="zh-CN"/>
        </w:rPr>
        <w:t>所有项目的“项目支出绩效自评表”中</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全年执行数</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的总和。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eastAsia="仿宋_GB2312"/>
          <w:color w:val="000000"/>
          <w:kern w:val="0"/>
          <w:sz w:val="28"/>
          <w:szCs w:val="28"/>
          <w:lang w:val="en-US" w:eastAsia="zh-CN"/>
        </w:rPr>
        <w:t>3.</w:t>
      </w:r>
      <w:r>
        <w:rPr>
          <w:rFonts w:hint="eastAsia" w:ascii="仿宋_GB2312" w:hAnsi="仿宋_GB2312" w:eastAsia="仿宋_GB2312" w:cs="仿宋_GB2312"/>
          <w:sz w:val="28"/>
          <w:szCs w:val="28"/>
        </w:rPr>
        <w:t>绩效评价等级根据绩效自评得分</w:t>
      </w:r>
      <w:r>
        <w:rPr>
          <w:rFonts w:hint="eastAsia" w:ascii="仿宋_GB2312" w:hAnsi="仿宋_GB2312" w:eastAsia="仿宋_GB2312" w:cs="仿宋_GB2312"/>
          <w:bCs/>
          <w:sz w:val="28"/>
          <w:szCs w:val="28"/>
        </w:rPr>
        <w:t>划分四档：</w:t>
      </w:r>
      <w:r>
        <w:rPr>
          <w:rFonts w:hint="eastAsia" w:ascii="仿宋_GB2312" w:hAnsi="仿宋_GB2312" w:eastAsia="仿宋_GB2312" w:cs="仿宋_GB2312"/>
          <w:sz w:val="28"/>
          <w:szCs w:val="28"/>
        </w:rPr>
        <w:t>90（含）-100分为优、80（含）-90分为良、60（含）-80分为中、60分以下为差。</w:t>
      </w:r>
    </w:p>
    <w:p>
      <w:pPr>
        <w:widowControl/>
        <w:jc w:val="left"/>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3E2D"/>
    <w:rsid w:val="05843714"/>
    <w:rsid w:val="13144377"/>
    <w:rsid w:val="196D37E3"/>
    <w:rsid w:val="1BC610E6"/>
    <w:rsid w:val="37C056E1"/>
    <w:rsid w:val="399B03BF"/>
    <w:rsid w:val="3CE14273"/>
    <w:rsid w:val="3E3E4C89"/>
    <w:rsid w:val="409C474B"/>
    <w:rsid w:val="437E21E2"/>
    <w:rsid w:val="4F2921CC"/>
    <w:rsid w:val="4FE67974"/>
    <w:rsid w:val="6CC67B5D"/>
    <w:rsid w:val="70524067"/>
    <w:rsid w:val="7CA8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2023-03-21T03:37:00Z</dcterms:created>
  <dc:creator>Administrator</dc:creator>
  <cp:lastModifiedBy>Administrator</cp:lastModifiedBy>
  <dcterms:modified xsi:type="dcterms:W3CDTF">2023-03-21T08:50:04Z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